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34657" w:rsidRPr="00934657" w:rsidRDefault="00934657" w:rsidP="00934657">
      <w:pPr>
        <w:keepNext/>
        <w:spacing w:before="240" w:after="60"/>
        <w:outlineLvl w:val="0"/>
        <w:rPr>
          <w:rFonts w:ascii="Cambria" w:eastAsia="Times New Roman" w:hAnsi="Cambria"/>
          <w:b/>
          <w:bCs/>
          <w:color w:val="auto"/>
          <w:kern w:val="32"/>
          <w:sz w:val="32"/>
          <w:szCs w:val="32"/>
          <w:lang w:val="en-US"/>
        </w:rPr>
      </w:pPr>
      <w:bookmarkStart w:id="0" w:name="_Toc419471436"/>
      <w:r w:rsidRPr="00934657">
        <w:rPr>
          <w:rFonts w:ascii="Cambria" w:eastAsia="Times New Roman" w:hAnsi="Cambria"/>
          <w:b/>
          <w:bCs/>
          <w:color w:val="auto"/>
          <w:kern w:val="32"/>
          <w:sz w:val="32"/>
          <w:szCs w:val="32"/>
          <w:lang w:val="en-US"/>
        </w:rPr>
        <w:t>Indicators 12.4.1 and 12.4.2</w:t>
      </w:r>
      <w:bookmarkEnd w:id="0"/>
    </w:p>
    <w:p w:rsidR="00934657" w:rsidRPr="00934657" w:rsidRDefault="00934657" w:rsidP="00934657">
      <w:pPr>
        <w:rPr>
          <w:rFonts w:ascii="Tahoma" w:eastAsia="Times New Roman" w:hAnsi="Tahoma" w:cs="Tahoma"/>
          <w:bCs/>
          <w:sz w:val="20"/>
          <w:szCs w:val="20"/>
          <w:lang w:val="en-US"/>
        </w:rPr>
      </w:pPr>
    </w:p>
    <w:p w:rsidR="00934657" w:rsidRPr="00934657" w:rsidRDefault="00934657" w:rsidP="00934657">
      <w:pPr>
        <w:rPr>
          <w:rFonts w:ascii="Tahoma" w:eastAsia="Times New Roman" w:hAnsi="Tahoma" w:cs="Tahoma"/>
          <w:bCs/>
          <w:sz w:val="20"/>
          <w:szCs w:val="20"/>
          <w:lang w:val="en-US"/>
        </w:rPr>
      </w:pPr>
      <w:r w:rsidRPr="00934657">
        <w:rPr>
          <w:rFonts w:ascii="Tahoma" w:eastAsia="Times New Roman" w:hAnsi="Tahoma" w:cs="Tahoma"/>
          <w:bCs/>
          <w:sz w:val="20"/>
          <w:szCs w:val="20"/>
          <w:lang w:val="en-US"/>
        </w:rPr>
        <w:t xml:space="preserve">Modification of the Indicator 12.4.1 is suggested so as to align better with the target. </w:t>
      </w:r>
    </w:p>
    <w:p w:rsidR="00934657" w:rsidRPr="00934657" w:rsidRDefault="00934657" w:rsidP="00934657">
      <w:pPr>
        <w:numPr>
          <w:ilvl w:val="0"/>
          <w:numId w:val="1"/>
        </w:numPr>
        <w:rPr>
          <w:rFonts w:ascii="Tahoma" w:eastAsia="Times New Roman" w:hAnsi="Tahoma" w:cs="Tahoma"/>
          <w:bCs/>
          <w:sz w:val="20"/>
          <w:szCs w:val="20"/>
          <w:lang w:val="en-US"/>
        </w:rPr>
      </w:pPr>
      <w:r w:rsidRPr="00934657">
        <w:rPr>
          <w:rFonts w:ascii="Tahoma" w:eastAsia="Times New Roman" w:hAnsi="Tahoma" w:cs="Tahoma"/>
          <w:bCs/>
          <w:sz w:val="20"/>
          <w:szCs w:val="20"/>
          <w:lang w:val="en-US"/>
        </w:rPr>
        <w:t xml:space="preserve">The word “hazardous </w:t>
      </w:r>
      <w:r w:rsidRPr="00934657">
        <w:rPr>
          <w:rFonts w:ascii="Tahoma" w:eastAsia="Times New Roman" w:hAnsi="Tahoma" w:cs="Tahoma"/>
          <w:bCs/>
          <w:sz w:val="20"/>
          <w:szCs w:val="20"/>
          <w:u w:val="single"/>
          <w:lang w:val="en-US"/>
        </w:rPr>
        <w:t>and other</w:t>
      </w:r>
      <w:r w:rsidRPr="00934657">
        <w:rPr>
          <w:rFonts w:ascii="Tahoma" w:eastAsia="Times New Roman" w:hAnsi="Tahoma" w:cs="Tahoma"/>
          <w:bCs/>
          <w:sz w:val="20"/>
          <w:szCs w:val="20"/>
          <w:lang w:val="en-US"/>
        </w:rPr>
        <w:t>” has been added consistent with the target which does not have a limitation to only hazardous chemicals</w:t>
      </w:r>
    </w:p>
    <w:p w:rsidR="00934657" w:rsidRPr="00934657" w:rsidRDefault="00934657" w:rsidP="00934657">
      <w:pPr>
        <w:numPr>
          <w:ilvl w:val="0"/>
          <w:numId w:val="1"/>
        </w:numPr>
        <w:rPr>
          <w:rFonts w:ascii="Tahoma" w:eastAsia="Times New Roman" w:hAnsi="Tahoma" w:cs="Tahoma"/>
          <w:bCs/>
          <w:sz w:val="20"/>
          <w:szCs w:val="20"/>
          <w:lang w:val="en-US"/>
        </w:rPr>
      </w:pPr>
      <w:r w:rsidRPr="00934657">
        <w:rPr>
          <w:rFonts w:ascii="Tahoma" w:eastAsia="Times New Roman" w:hAnsi="Tahoma" w:cs="Tahoma"/>
          <w:bCs/>
          <w:sz w:val="20"/>
          <w:szCs w:val="20"/>
          <w:lang w:val="en-US"/>
        </w:rPr>
        <w:t>The replacement of “Number of Parties to” and “number of national reports” would enable confirmation of those parties having sound management of chemicals and wastes</w:t>
      </w:r>
    </w:p>
    <w:p w:rsidR="00934657" w:rsidRPr="00934657" w:rsidRDefault="00934657" w:rsidP="00934657">
      <w:pPr>
        <w:ind w:left="720"/>
        <w:rPr>
          <w:rFonts w:ascii="Tahoma" w:eastAsia="Times New Roman" w:hAnsi="Tahoma" w:cs="Tahoma"/>
          <w:bCs/>
          <w:sz w:val="20"/>
          <w:szCs w:val="20"/>
          <w:lang w:val="en-US"/>
        </w:rPr>
      </w:pPr>
    </w:p>
    <w:p w:rsidR="00934657" w:rsidRPr="00934657" w:rsidRDefault="00934657" w:rsidP="00934657">
      <w:pPr>
        <w:rPr>
          <w:rFonts w:ascii="Tahoma" w:eastAsia="Times New Roman" w:hAnsi="Tahoma" w:cs="Tahoma"/>
          <w:bCs/>
          <w:i/>
          <w:sz w:val="20"/>
          <w:szCs w:val="20"/>
          <w:lang w:val="en-US"/>
        </w:rPr>
      </w:pPr>
      <w:r w:rsidRPr="00934657">
        <w:rPr>
          <w:rFonts w:ascii="Tahoma" w:eastAsia="Times New Roman" w:hAnsi="Tahoma" w:cs="Tahoma"/>
          <w:b/>
          <w:bCs/>
          <w:sz w:val="20"/>
          <w:szCs w:val="20"/>
          <w:lang w:val="en-US"/>
        </w:rPr>
        <w:t>Modified Indicator 12.4.1:</w:t>
      </w:r>
      <w:r w:rsidRPr="00934657">
        <w:rPr>
          <w:rFonts w:ascii="Tahoma" w:eastAsia="Times New Roman" w:hAnsi="Tahoma" w:cs="Tahoma"/>
          <w:bCs/>
          <w:sz w:val="20"/>
          <w:szCs w:val="20"/>
          <w:lang w:val="en-US"/>
        </w:rPr>
        <w:t xml:space="preserve"> </w:t>
      </w:r>
      <w:r w:rsidRPr="00934657">
        <w:rPr>
          <w:rFonts w:ascii="Tahoma" w:eastAsia="Times New Roman" w:hAnsi="Tahoma" w:cs="Tahoma"/>
          <w:bCs/>
          <w:i/>
          <w:sz w:val="20"/>
          <w:szCs w:val="20"/>
          <w:lang w:val="en-US"/>
        </w:rPr>
        <w:t xml:space="preserve">Number of Parties to international multilateral environmental agreements on hazardous and other chemicals and waste that meet their commitments and obligations </w:t>
      </w:r>
    </w:p>
    <w:p w:rsidR="00934657" w:rsidRPr="00934657" w:rsidRDefault="00934657" w:rsidP="00934657">
      <w:pPr>
        <w:rPr>
          <w:rFonts w:ascii="Tahoma" w:eastAsia="Times New Roman" w:hAnsi="Tahoma" w:cs="Tahoma"/>
          <w:bCs/>
          <w:sz w:val="20"/>
          <w:szCs w:val="20"/>
          <w:lang w:val="en-US"/>
        </w:rPr>
      </w:pPr>
    </w:p>
    <w:p w:rsidR="00934657" w:rsidRPr="00934657" w:rsidRDefault="00934657" w:rsidP="00934657">
      <w:pPr>
        <w:rPr>
          <w:rFonts w:ascii="Tahoma" w:eastAsia="Times New Roman" w:hAnsi="Tahoma" w:cs="Tahoma"/>
          <w:bCs/>
          <w:sz w:val="20"/>
          <w:szCs w:val="20"/>
          <w:lang w:val="en-US"/>
        </w:rPr>
      </w:pPr>
      <w:r w:rsidRPr="00934657">
        <w:rPr>
          <w:rFonts w:ascii="Tahoma" w:eastAsia="Times New Roman" w:hAnsi="Tahoma" w:cs="Tahoma"/>
          <w:bCs/>
          <w:sz w:val="20"/>
          <w:szCs w:val="20"/>
          <w:lang w:val="en-US"/>
        </w:rPr>
        <w:t xml:space="preserve">This would be measured by number of Parties that transmit information as required by each relevant </w:t>
      </w:r>
      <w:proofErr w:type="gramStart"/>
      <w:r w:rsidRPr="00934657">
        <w:rPr>
          <w:rFonts w:ascii="Tahoma" w:eastAsia="Times New Roman" w:hAnsi="Tahoma" w:cs="Tahoma"/>
          <w:bCs/>
          <w:sz w:val="20"/>
          <w:szCs w:val="20"/>
          <w:lang w:val="en-US"/>
        </w:rPr>
        <w:t>agreements</w:t>
      </w:r>
      <w:proofErr w:type="gramEnd"/>
      <w:r w:rsidRPr="00934657">
        <w:rPr>
          <w:rFonts w:ascii="Tahoma" w:eastAsia="Times New Roman" w:hAnsi="Tahoma" w:cs="Tahoma"/>
          <w:bCs/>
          <w:sz w:val="20"/>
          <w:szCs w:val="20"/>
          <w:lang w:val="en-US"/>
        </w:rPr>
        <w:t xml:space="preserve"> (e.g. national reports, national implementation plans, import responses, etc.).</w:t>
      </w:r>
    </w:p>
    <w:p w:rsidR="00934657" w:rsidRPr="00934657" w:rsidRDefault="00934657" w:rsidP="00934657">
      <w:pPr>
        <w:rPr>
          <w:rFonts w:ascii="Tahoma" w:eastAsia="Times New Roman" w:hAnsi="Tahoma" w:cs="Tahoma"/>
          <w:bCs/>
          <w:sz w:val="20"/>
          <w:szCs w:val="20"/>
          <w:lang w:val="en-US"/>
        </w:rPr>
      </w:pPr>
    </w:p>
    <w:p w:rsidR="00934657" w:rsidRPr="00934657" w:rsidRDefault="00934657" w:rsidP="00934657">
      <w:pPr>
        <w:rPr>
          <w:rFonts w:ascii="Tahoma" w:eastAsia="Times New Roman" w:hAnsi="Tahoma" w:cs="Tahoma"/>
          <w:bCs/>
          <w:sz w:val="20"/>
          <w:szCs w:val="20"/>
          <w:lang w:val="en-US"/>
        </w:rPr>
      </w:pPr>
      <w:r w:rsidRPr="00934657">
        <w:rPr>
          <w:rFonts w:ascii="Tahoma" w:eastAsia="Times New Roman" w:hAnsi="Tahoma" w:cs="Tahoma"/>
          <w:bCs/>
          <w:sz w:val="20"/>
          <w:szCs w:val="20"/>
          <w:lang w:val="en-US"/>
        </w:rPr>
        <w:t xml:space="preserve">Modification of Indicator 12.4.2 is suggested so as to be more specific about the chemicals being monitored, and ensure data sources. </w:t>
      </w:r>
    </w:p>
    <w:p w:rsidR="00934657" w:rsidRPr="00934657" w:rsidRDefault="00934657" w:rsidP="00934657">
      <w:pPr>
        <w:rPr>
          <w:rFonts w:ascii="Tahoma" w:eastAsia="Times New Roman" w:hAnsi="Tahoma" w:cs="Tahoma"/>
          <w:bCs/>
          <w:sz w:val="20"/>
          <w:szCs w:val="20"/>
          <w:lang w:val="en-US"/>
        </w:rPr>
      </w:pPr>
    </w:p>
    <w:p w:rsidR="00934657" w:rsidRPr="00934657" w:rsidRDefault="00934657" w:rsidP="00934657">
      <w:pPr>
        <w:rPr>
          <w:rFonts w:ascii="Tahoma" w:eastAsia="Times New Roman" w:hAnsi="Tahoma" w:cs="Tahoma"/>
          <w:bCs/>
          <w:sz w:val="20"/>
          <w:szCs w:val="20"/>
          <w:lang w:val="en-US"/>
        </w:rPr>
      </w:pPr>
      <w:r w:rsidRPr="00934657">
        <w:rPr>
          <w:rFonts w:ascii="Tahoma" w:eastAsia="Times New Roman" w:hAnsi="Tahoma" w:cs="Tahoma"/>
          <w:b/>
          <w:bCs/>
          <w:sz w:val="20"/>
          <w:szCs w:val="20"/>
          <w:lang w:val="en-US"/>
        </w:rPr>
        <w:t xml:space="preserve">Modified Indicator </w:t>
      </w:r>
      <w:proofErr w:type="gramStart"/>
      <w:r w:rsidRPr="00934657">
        <w:rPr>
          <w:rFonts w:ascii="Tahoma" w:eastAsia="Times New Roman" w:hAnsi="Tahoma" w:cs="Tahoma"/>
          <w:b/>
          <w:bCs/>
          <w:sz w:val="20"/>
          <w:szCs w:val="20"/>
          <w:lang w:val="en-US"/>
        </w:rPr>
        <w:t>12.4.2 :</w:t>
      </w:r>
      <w:proofErr w:type="gramEnd"/>
      <w:r w:rsidRPr="00934657">
        <w:rPr>
          <w:rFonts w:ascii="Tahoma" w:eastAsia="Times New Roman" w:hAnsi="Tahoma" w:cs="Tahoma"/>
          <w:bCs/>
          <w:sz w:val="20"/>
          <w:szCs w:val="20"/>
          <w:lang w:val="en-US"/>
        </w:rPr>
        <w:t xml:space="preserve"> </w:t>
      </w:r>
      <w:r w:rsidRPr="00934657">
        <w:rPr>
          <w:rFonts w:ascii="Tahoma" w:eastAsia="Times New Roman" w:hAnsi="Tahoma" w:cs="Tahoma"/>
          <w:bCs/>
          <w:i/>
          <w:sz w:val="20"/>
          <w:szCs w:val="20"/>
          <w:lang w:val="en-US"/>
        </w:rPr>
        <w:t>Annual national levels of production and consumption of selected chemicals</w:t>
      </w:r>
      <w:r w:rsidRPr="00934657">
        <w:rPr>
          <w:rFonts w:ascii="Tahoma" w:eastAsia="Times New Roman" w:hAnsi="Tahoma" w:cs="Tahoma"/>
          <w:bCs/>
          <w:sz w:val="20"/>
          <w:szCs w:val="20"/>
          <w:lang w:val="en-US"/>
        </w:rPr>
        <w:t>.</w:t>
      </w:r>
    </w:p>
    <w:p w:rsidR="00934657" w:rsidRPr="00934657" w:rsidRDefault="00934657" w:rsidP="00934657">
      <w:pPr>
        <w:rPr>
          <w:rFonts w:ascii="Tahoma" w:eastAsia="Times New Roman" w:hAnsi="Tahoma" w:cs="Tahoma"/>
          <w:bCs/>
          <w:sz w:val="20"/>
          <w:szCs w:val="20"/>
          <w:lang w:val="en-US"/>
        </w:rPr>
      </w:pPr>
    </w:p>
    <w:p w:rsidR="00934657" w:rsidRPr="00934657" w:rsidRDefault="00934657" w:rsidP="00934657">
      <w:pPr>
        <w:rPr>
          <w:rFonts w:ascii="Tahoma" w:eastAsia="Times New Roman" w:hAnsi="Tahoma" w:cs="Tahoma"/>
          <w:bCs/>
          <w:sz w:val="20"/>
          <w:szCs w:val="20"/>
          <w:lang w:val="en-US"/>
        </w:rPr>
      </w:pPr>
      <w:r w:rsidRPr="00934657">
        <w:rPr>
          <w:rFonts w:ascii="Tahoma" w:eastAsia="Times New Roman" w:hAnsi="Tahoma" w:cs="Tahoma"/>
          <w:bCs/>
          <w:sz w:val="20"/>
          <w:szCs w:val="20"/>
          <w:lang w:val="en-US"/>
        </w:rPr>
        <w:t xml:space="preserve">The following selected chemicals could be considered such </w:t>
      </w:r>
      <w:proofErr w:type="gramStart"/>
      <w:r w:rsidRPr="00934657">
        <w:rPr>
          <w:rFonts w:ascii="Tahoma" w:eastAsia="Times New Roman" w:hAnsi="Tahoma" w:cs="Tahoma"/>
          <w:bCs/>
          <w:sz w:val="20"/>
          <w:szCs w:val="20"/>
          <w:lang w:val="en-US"/>
        </w:rPr>
        <w:t>as :</w:t>
      </w:r>
      <w:proofErr w:type="gramEnd"/>
      <w:r w:rsidRPr="00934657">
        <w:rPr>
          <w:rFonts w:ascii="Tahoma" w:eastAsia="Times New Roman" w:hAnsi="Tahoma" w:cs="Tahoma"/>
          <w:bCs/>
          <w:sz w:val="20"/>
          <w:szCs w:val="20"/>
          <w:lang w:val="en-US"/>
        </w:rPr>
        <w:t xml:space="preserve"> persistent organic pollutants, hazardous wastes, nitrogen.  </w:t>
      </w:r>
    </w:p>
    <w:p w:rsidR="00934657" w:rsidRPr="00934657" w:rsidRDefault="00934657" w:rsidP="00934657">
      <w:pPr>
        <w:rPr>
          <w:rFonts w:ascii="Tahoma" w:eastAsia="Times New Roman" w:hAnsi="Tahoma" w:cs="Tahoma"/>
          <w:bCs/>
          <w:sz w:val="20"/>
          <w:szCs w:val="20"/>
          <w:lang w:val="en-US"/>
        </w:rPr>
      </w:pPr>
    </w:p>
    <w:p w:rsidR="00934657" w:rsidRPr="00934657" w:rsidRDefault="00934657" w:rsidP="00934657">
      <w:pPr>
        <w:rPr>
          <w:rFonts w:ascii="Tahoma" w:eastAsia="Times New Roman" w:hAnsi="Tahoma" w:cs="Tahoma"/>
          <w:bCs/>
          <w:sz w:val="20"/>
          <w:szCs w:val="20"/>
          <w:lang w:val="en-US"/>
        </w:rPr>
      </w:pPr>
      <w:r w:rsidRPr="00934657">
        <w:rPr>
          <w:rFonts w:ascii="Tahoma" w:eastAsia="Times New Roman" w:hAnsi="Tahoma" w:cs="Tahoma"/>
          <w:bCs/>
          <w:sz w:val="20"/>
          <w:szCs w:val="20"/>
          <w:lang w:val="en-US"/>
        </w:rPr>
        <w:t xml:space="preserve">Data on nitrogen surplus, nitrogen deposition, loss of reactive nitrogen to the environment can be obtained </w:t>
      </w:r>
      <w:proofErr w:type="gramStart"/>
      <w:r w:rsidRPr="00934657">
        <w:rPr>
          <w:rFonts w:ascii="Tahoma" w:eastAsia="Times New Roman" w:hAnsi="Tahoma" w:cs="Tahoma"/>
          <w:bCs/>
          <w:sz w:val="20"/>
          <w:szCs w:val="20"/>
          <w:lang w:val="en-US"/>
        </w:rPr>
        <w:t>from :</w:t>
      </w:r>
      <w:proofErr w:type="gramEnd"/>
      <w:r w:rsidRPr="00934657">
        <w:rPr>
          <w:rFonts w:ascii="Tahoma" w:eastAsia="Times New Roman" w:hAnsi="Tahoma" w:cs="Tahoma"/>
          <w:bCs/>
          <w:sz w:val="20"/>
          <w:szCs w:val="20"/>
          <w:lang w:val="en-US"/>
        </w:rPr>
        <w:t xml:space="preserve"> http://bipindicators.net/nitrogendeposition   .   Also, National reports under the Basel and </w:t>
      </w:r>
      <w:proofErr w:type="spellStart"/>
      <w:r w:rsidRPr="00934657">
        <w:rPr>
          <w:rFonts w:ascii="Tahoma" w:eastAsia="Times New Roman" w:hAnsi="Tahoma" w:cs="Tahoma"/>
          <w:bCs/>
          <w:sz w:val="20"/>
          <w:szCs w:val="20"/>
          <w:lang w:val="en-US"/>
        </w:rPr>
        <w:t>Stockhom</w:t>
      </w:r>
      <w:proofErr w:type="spellEnd"/>
      <w:r w:rsidRPr="00934657">
        <w:rPr>
          <w:rFonts w:ascii="Tahoma" w:eastAsia="Times New Roman" w:hAnsi="Tahoma" w:cs="Tahoma"/>
          <w:bCs/>
          <w:sz w:val="20"/>
          <w:szCs w:val="20"/>
          <w:lang w:val="en-US"/>
        </w:rPr>
        <w:t xml:space="preserve"> Conventions (National reports) include information on the generation of hazardous and other wastes, also with the indication which wastes are destined for recycling and which are for disposal under Basel Convention; and statistical data on total quantities of production, import and export of </w:t>
      </w:r>
      <w:proofErr w:type="spellStart"/>
      <w:r w:rsidRPr="00934657">
        <w:rPr>
          <w:rFonts w:ascii="Tahoma" w:eastAsia="Times New Roman" w:hAnsi="Tahoma" w:cs="Tahoma"/>
          <w:bCs/>
          <w:sz w:val="20"/>
          <w:szCs w:val="20"/>
          <w:lang w:val="en-US"/>
        </w:rPr>
        <w:t>persistant</w:t>
      </w:r>
      <w:proofErr w:type="spellEnd"/>
      <w:r w:rsidRPr="00934657">
        <w:rPr>
          <w:rFonts w:ascii="Tahoma" w:eastAsia="Times New Roman" w:hAnsi="Tahoma" w:cs="Tahoma"/>
          <w:bCs/>
          <w:sz w:val="20"/>
          <w:szCs w:val="20"/>
          <w:lang w:val="en-US"/>
        </w:rPr>
        <w:t xml:space="preserve"> organic pollutants or a reasonable estimate of such data (under Stockholm Convention’s: (</w:t>
      </w:r>
      <w:proofErr w:type="spellStart"/>
      <w:r w:rsidRPr="00934657">
        <w:rPr>
          <w:rFonts w:ascii="Tahoma" w:eastAsia="Times New Roman" w:hAnsi="Tahoma" w:cs="Tahoma"/>
          <w:bCs/>
          <w:sz w:val="20"/>
          <w:szCs w:val="20"/>
          <w:lang w:val="en-US"/>
        </w:rPr>
        <w:t>i</w:t>
      </w:r>
      <w:proofErr w:type="spellEnd"/>
      <w:r w:rsidRPr="00934657">
        <w:rPr>
          <w:rFonts w:ascii="Tahoma" w:eastAsia="Times New Roman" w:hAnsi="Tahoma" w:cs="Tahoma"/>
          <w:bCs/>
          <w:sz w:val="20"/>
          <w:szCs w:val="20"/>
          <w:lang w:val="en-US"/>
        </w:rPr>
        <w:t xml:space="preserve">) Global Monitoring Plan, which also collects data on POPs in air, human milk, blood, and water, (ii) Risk profiles under the Stockholm Convention Persistent Organic Pollutants Review Committee (POPRC) include scientific data on environmental monitoring data, human </w:t>
      </w:r>
      <w:proofErr w:type="spellStart"/>
      <w:r w:rsidRPr="00934657">
        <w:rPr>
          <w:rFonts w:ascii="Tahoma" w:eastAsia="Times New Roman" w:hAnsi="Tahoma" w:cs="Tahoma"/>
          <w:bCs/>
          <w:sz w:val="20"/>
          <w:szCs w:val="20"/>
          <w:lang w:val="en-US"/>
        </w:rPr>
        <w:t>biomonitoring</w:t>
      </w:r>
      <w:proofErr w:type="spellEnd"/>
      <w:r w:rsidRPr="00934657">
        <w:rPr>
          <w:rFonts w:ascii="Tahoma" w:eastAsia="Times New Roman" w:hAnsi="Tahoma" w:cs="Tahoma"/>
          <w:bCs/>
          <w:sz w:val="20"/>
          <w:szCs w:val="20"/>
          <w:lang w:val="en-US"/>
        </w:rPr>
        <w:t>, and concentration in air, water, sediment and soil, etc. for POPs under the Convention. Risk profiles are prepared for all POPs that are included on the list of POPs under the Convention. However these are “one time” reports, based on the existing scientific data available at that moment.</w:t>
      </w:r>
    </w:p>
    <w:p w:rsidR="00934657" w:rsidRPr="00934657" w:rsidRDefault="00934657" w:rsidP="00934657">
      <w:pPr>
        <w:rPr>
          <w:rFonts w:ascii="Tahoma" w:eastAsia="Times New Roman" w:hAnsi="Tahoma" w:cs="Tahoma"/>
          <w:bCs/>
          <w:sz w:val="20"/>
          <w:szCs w:val="20"/>
          <w:lang w:val="en-US"/>
        </w:rPr>
      </w:pPr>
    </w:p>
    <w:p w:rsidR="00934657" w:rsidRPr="00934657" w:rsidRDefault="00934657" w:rsidP="00934657">
      <w:pPr>
        <w:rPr>
          <w:rFonts w:ascii="Tahoma" w:eastAsia="Times New Roman" w:hAnsi="Tahoma" w:cs="Tahoma"/>
          <w:bCs/>
          <w:sz w:val="20"/>
          <w:szCs w:val="20"/>
          <w:lang w:val="en-US"/>
        </w:rPr>
      </w:pPr>
      <w:r w:rsidRPr="00934657">
        <w:rPr>
          <w:rFonts w:ascii="Tahoma" w:eastAsia="Times New Roman" w:hAnsi="Tahoma" w:cs="Tahoma"/>
          <w:bCs/>
          <w:sz w:val="20"/>
          <w:szCs w:val="20"/>
          <w:lang w:val="en-US"/>
        </w:rPr>
        <w:t xml:space="preserve">We feel that more discussion is required to be able to whittle the selection of chemicals down to a globally important and relevant set. </w:t>
      </w:r>
    </w:p>
    <w:p w:rsidR="0035634B" w:rsidRDefault="0035634B">
      <w:pPr>
        <w:rPr>
          <w:lang w:val="en-US"/>
        </w:rPr>
      </w:pPr>
    </w:p>
    <w:p w:rsidR="00BD0F94" w:rsidRDefault="00BD0F94">
      <w:pPr>
        <w:rPr>
          <w:lang w:val="en-US"/>
        </w:rPr>
      </w:pPr>
    </w:p>
    <w:p w:rsidR="00BD0F94" w:rsidRPr="00BD0F94" w:rsidRDefault="00BD0F94" w:rsidP="00BD0F94">
      <w:pPr>
        <w:keepNext/>
        <w:spacing w:before="240" w:after="60"/>
        <w:outlineLvl w:val="0"/>
        <w:rPr>
          <w:rFonts w:ascii="Cambria" w:eastAsia="Times New Roman" w:hAnsi="Cambria"/>
          <w:b/>
          <w:bCs/>
          <w:color w:val="auto"/>
          <w:kern w:val="32"/>
          <w:sz w:val="32"/>
          <w:szCs w:val="32"/>
          <w:lang w:val="en-US"/>
        </w:rPr>
      </w:pPr>
      <w:bookmarkStart w:id="1" w:name="_Toc419471438"/>
      <w:r w:rsidRPr="00BD0F94">
        <w:rPr>
          <w:rFonts w:ascii="Cambria" w:eastAsia="Times New Roman" w:hAnsi="Cambria"/>
          <w:b/>
          <w:bCs/>
          <w:color w:val="auto"/>
          <w:kern w:val="32"/>
          <w:sz w:val="32"/>
          <w:szCs w:val="32"/>
          <w:lang w:val="en-US"/>
        </w:rPr>
        <w:t>Indicator 12.c. 2</w:t>
      </w:r>
      <w:bookmarkEnd w:id="1"/>
    </w:p>
    <w:p w:rsidR="00BD0F94" w:rsidRPr="00BD0F94" w:rsidRDefault="00BD0F94" w:rsidP="00BD0F94">
      <w:pPr>
        <w:rPr>
          <w:rFonts w:ascii="Tahoma" w:eastAsia="Times New Roman" w:hAnsi="Tahoma" w:cs="Tahoma"/>
          <w:bCs/>
          <w:sz w:val="20"/>
          <w:szCs w:val="20"/>
          <w:lang w:val="en-US"/>
        </w:rPr>
      </w:pPr>
    </w:p>
    <w:p w:rsidR="00BD0F94" w:rsidRPr="00BD0F94" w:rsidRDefault="00BD0F94" w:rsidP="00BD0F94">
      <w:pPr>
        <w:rPr>
          <w:rFonts w:ascii="Tahoma" w:eastAsia="Times New Roman" w:hAnsi="Tahoma" w:cs="Tahoma"/>
          <w:bCs/>
          <w:sz w:val="20"/>
          <w:szCs w:val="20"/>
          <w:lang w:val="en-US"/>
        </w:rPr>
      </w:pPr>
      <w:r w:rsidRPr="00BD0F94">
        <w:rPr>
          <w:rFonts w:ascii="Tahoma" w:eastAsia="Times New Roman" w:hAnsi="Tahoma" w:cs="Tahoma"/>
          <w:bCs/>
          <w:sz w:val="20"/>
          <w:szCs w:val="20"/>
          <w:lang w:val="en-US"/>
        </w:rPr>
        <w:t xml:space="preserve">We propose an additional indicator, given that the amount of subsidies on fossil fuels may not show variation among countries, nor break down the taxes vs other charges. The Target focuses on “restructuring taxes”. </w:t>
      </w:r>
    </w:p>
    <w:p w:rsidR="00BD0F94" w:rsidRPr="00BD0F94" w:rsidRDefault="00BD0F94" w:rsidP="00BD0F94">
      <w:pPr>
        <w:rPr>
          <w:rFonts w:ascii="Tahoma" w:eastAsia="Times New Roman" w:hAnsi="Tahoma" w:cs="Tahoma"/>
          <w:bCs/>
          <w:sz w:val="20"/>
          <w:szCs w:val="20"/>
          <w:lang w:val="en-US"/>
        </w:rPr>
      </w:pPr>
    </w:p>
    <w:p w:rsidR="00BD0F94" w:rsidRPr="00BD0F94" w:rsidRDefault="00BD0F94" w:rsidP="00BD0F94">
      <w:pPr>
        <w:rPr>
          <w:rFonts w:ascii="Tahoma" w:eastAsia="Times New Roman" w:hAnsi="Tahoma" w:cs="Tahoma"/>
          <w:bCs/>
          <w:sz w:val="20"/>
          <w:szCs w:val="20"/>
          <w:lang w:val="en-US"/>
        </w:rPr>
      </w:pPr>
      <w:r w:rsidRPr="00BD0F94">
        <w:rPr>
          <w:rFonts w:ascii="Tahoma" w:eastAsia="Times New Roman" w:hAnsi="Tahoma" w:cs="Tahoma"/>
          <w:bCs/>
          <w:sz w:val="20"/>
          <w:szCs w:val="20"/>
          <w:lang w:val="en-US"/>
        </w:rPr>
        <w:t>Additional indicator: Percent changes on fossil fuels</w:t>
      </w:r>
    </w:p>
    <w:p w:rsidR="00BD0F94" w:rsidRPr="00BD0F94" w:rsidRDefault="00BD0F94" w:rsidP="00BD0F94">
      <w:pPr>
        <w:rPr>
          <w:rFonts w:ascii="Tahoma" w:eastAsia="Times New Roman" w:hAnsi="Tahoma" w:cs="Tahoma"/>
          <w:bCs/>
          <w:sz w:val="20"/>
          <w:szCs w:val="20"/>
          <w:lang w:val="en-US"/>
        </w:rPr>
      </w:pPr>
    </w:p>
    <w:p w:rsidR="00BD0F94" w:rsidRPr="00BD0F94" w:rsidRDefault="00BD0F94" w:rsidP="00BD0F94">
      <w:pPr>
        <w:rPr>
          <w:rFonts w:ascii="Tahoma" w:eastAsia="Times New Roman" w:hAnsi="Tahoma" w:cs="Tahoma"/>
          <w:bCs/>
          <w:sz w:val="20"/>
          <w:szCs w:val="20"/>
          <w:lang w:val="en-US"/>
        </w:rPr>
      </w:pPr>
      <w:r w:rsidRPr="00BD0F94">
        <w:rPr>
          <w:rFonts w:ascii="Tahoma" w:eastAsia="Times New Roman" w:hAnsi="Tahoma" w:cs="Tahoma"/>
          <w:bCs/>
          <w:sz w:val="20"/>
          <w:szCs w:val="20"/>
          <w:lang w:val="en-US"/>
        </w:rPr>
        <w:t xml:space="preserve">Measurement: This would measure the rate of taxes, allowances and other charges applicable to fossil fuel products and not just the fuels, and would be measured by product type and consumer type. </w:t>
      </w:r>
    </w:p>
    <w:p w:rsidR="00BD0F94" w:rsidRPr="00BD0F94" w:rsidRDefault="00BD0F94" w:rsidP="00BD0F94">
      <w:pPr>
        <w:rPr>
          <w:rFonts w:ascii="Tahoma" w:eastAsia="Times New Roman" w:hAnsi="Tahoma" w:cs="Tahoma"/>
          <w:bCs/>
          <w:sz w:val="20"/>
          <w:szCs w:val="20"/>
          <w:lang w:val="en-US"/>
        </w:rPr>
      </w:pPr>
    </w:p>
    <w:p w:rsidR="00BD0F94" w:rsidRPr="00BD0F94" w:rsidRDefault="00BD0F94" w:rsidP="00BD0F94">
      <w:pPr>
        <w:rPr>
          <w:rFonts w:ascii="Tahoma" w:eastAsia="Times New Roman" w:hAnsi="Tahoma" w:cs="Tahoma"/>
          <w:bCs/>
          <w:sz w:val="20"/>
          <w:szCs w:val="20"/>
          <w:lang w:val="en-US"/>
        </w:rPr>
      </w:pPr>
      <w:r w:rsidRPr="00BD0F94">
        <w:rPr>
          <w:rFonts w:ascii="Tahoma" w:eastAsia="Times New Roman" w:hAnsi="Tahoma" w:cs="Tahoma"/>
          <w:bCs/>
          <w:sz w:val="20"/>
          <w:szCs w:val="20"/>
          <w:lang w:val="en-US"/>
        </w:rPr>
        <w:lastRenderedPageBreak/>
        <w:t xml:space="preserve">Data is available for OECD countries at the OECD Data base for instruments used for environmental policy (http: www2.oecd.org/ecoinst/queries). </w:t>
      </w:r>
    </w:p>
    <w:p w:rsidR="00BD0F94" w:rsidRPr="00934657" w:rsidRDefault="00BD0F94">
      <w:pPr>
        <w:rPr>
          <w:lang w:val="en-US"/>
        </w:rPr>
      </w:pPr>
      <w:bookmarkStart w:id="2" w:name="_GoBack"/>
      <w:bookmarkEnd w:id="2"/>
    </w:p>
    <w:sectPr w:rsidR="00BD0F94" w:rsidRPr="00934657">
      <w:pgSz w:w="11906" w:h="16838"/>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DE8559B"/>
    <w:multiLevelType w:val="hybridMultilevel"/>
    <w:tmpl w:val="AA3092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1"/>
  <w:doNotDisplayPageBoundaries/>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34657"/>
    <w:rsid w:val="0035634B"/>
    <w:rsid w:val="00374D74"/>
    <w:rsid w:val="00934657"/>
    <w:rsid w:val="00BD0F9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color w:val="000000"/>
        <w:sz w:val="24"/>
        <w:szCs w:val="24"/>
        <w:lang w:val="en-GB"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74D74"/>
  </w:style>
  <w:style w:type="paragraph" w:styleId="Heading1">
    <w:name w:val="heading 1"/>
    <w:basedOn w:val="ListParagraph"/>
    <w:next w:val="Normal"/>
    <w:link w:val="Heading1Char"/>
    <w:autoRedefine/>
    <w:uiPriority w:val="9"/>
    <w:qFormat/>
    <w:rsid w:val="00374D74"/>
    <w:pPr>
      <w:ind w:left="0"/>
      <w:jc w:val="both"/>
      <w:outlineLvl w:val="0"/>
    </w:pPr>
    <w:rPr>
      <w:b/>
      <w:sz w:val="44"/>
      <w:szCs w:val="44"/>
    </w:rPr>
  </w:style>
  <w:style w:type="paragraph" w:styleId="Heading2">
    <w:name w:val="heading 2"/>
    <w:basedOn w:val="Normal"/>
    <w:next w:val="Normal"/>
    <w:link w:val="Heading2Char"/>
    <w:uiPriority w:val="9"/>
    <w:unhideWhenUsed/>
    <w:qFormat/>
    <w:rsid w:val="00374D74"/>
    <w:pPr>
      <w:outlineLvl w:val="1"/>
    </w:pPr>
    <w:rPr>
      <w:b/>
      <w:sz w:val="28"/>
      <w:szCs w:val="28"/>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
    <w:name w:val="Style1"/>
    <w:basedOn w:val="TOC2"/>
    <w:qFormat/>
    <w:rsid w:val="00374D74"/>
    <w:rPr>
      <w:b/>
      <w:sz w:val="24"/>
    </w:rPr>
  </w:style>
  <w:style w:type="paragraph" w:styleId="TOC2">
    <w:name w:val="toc 2"/>
    <w:basedOn w:val="Normal"/>
    <w:next w:val="Normal"/>
    <w:autoRedefine/>
    <w:uiPriority w:val="39"/>
    <w:unhideWhenUsed/>
    <w:qFormat/>
    <w:rsid w:val="00374D74"/>
    <w:pPr>
      <w:tabs>
        <w:tab w:val="right" w:leader="dot" w:pos="9678"/>
      </w:tabs>
      <w:spacing w:after="100"/>
      <w:jc w:val="both"/>
    </w:pPr>
    <w:rPr>
      <w:rFonts w:eastAsiaTheme="minorEastAsia"/>
      <w:noProof/>
      <w:sz w:val="36"/>
      <w:szCs w:val="36"/>
      <w:lang w:val="en-US" w:eastAsia="ja-JP"/>
    </w:rPr>
  </w:style>
  <w:style w:type="paragraph" w:customStyle="1" w:styleId="Style2">
    <w:name w:val="Style2"/>
    <w:basedOn w:val="TOC2"/>
    <w:autoRedefine/>
    <w:qFormat/>
    <w:rsid w:val="00374D74"/>
    <w:rPr>
      <w:b/>
      <w:sz w:val="24"/>
    </w:rPr>
  </w:style>
  <w:style w:type="paragraph" w:customStyle="1" w:styleId="Style3">
    <w:name w:val="Style3"/>
    <w:basedOn w:val="TOC2"/>
    <w:qFormat/>
    <w:rsid w:val="00374D74"/>
    <w:rPr>
      <w:b/>
      <w:sz w:val="24"/>
    </w:rPr>
  </w:style>
  <w:style w:type="paragraph" w:customStyle="1" w:styleId="Style4">
    <w:name w:val="Style4"/>
    <w:basedOn w:val="TOC2"/>
    <w:qFormat/>
    <w:rsid w:val="00374D74"/>
    <w:rPr>
      <w:b/>
      <w:sz w:val="24"/>
    </w:rPr>
  </w:style>
  <w:style w:type="paragraph" w:customStyle="1" w:styleId="Style5">
    <w:name w:val="Style5"/>
    <w:basedOn w:val="TOC2"/>
    <w:qFormat/>
    <w:rsid w:val="00374D74"/>
    <w:rPr>
      <w:b/>
      <w:sz w:val="24"/>
    </w:rPr>
  </w:style>
  <w:style w:type="paragraph" w:customStyle="1" w:styleId="Style6">
    <w:name w:val="Style6"/>
    <w:basedOn w:val="TOC2"/>
    <w:qFormat/>
    <w:rsid w:val="00374D74"/>
    <w:rPr>
      <w:b/>
      <w:sz w:val="24"/>
    </w:rPr>
  </w:style>
  <w:style w:type="paragraph" w:customStyle="1" w:styleId="Style7">
    <w:name w:val="Style7"/>
    <w:basedOn w:val="TOC1"/>
    <w:qFormat/>
    <w:rsid w:val="00374D74"/>
  </w:style>
  <w:style w:type="paragraph" w:styleId="TOC1">
    <w:name w:val="toc 1"/>
    <w:basedOn w:val="Normal"/>
    <w:next w:val="Normal"/>
    <w:autoRedefine/>
    <w:uiPriority w:val="39"/>
    <w:unhideWhenUsed/>
    <w:qFormat/>
    <w:rsid w:val="00374D74"/>
    <w:pPr>
      <w:tabs>
        <w:tab w:val="left" w:pos="660"/>
        <w:tab w:val="right" w:leader="dot" w:pos="9678"/>
      </w:tabs>
      <w:spacing w:after="120"/>
      <w:outlineLvl w:val="0"/>
    </w:pPr>
    <w:rPr>
      <w:b/>
      <w:sz w:val="28"/>
      <w:szCs w:val="28"/>
    </w:rPr>
  </w:style>
  <w:style w:type="character" w:customStyle="1" w:styleId="Heading1Char">
    <w:name w:val="Heading 1 Char"/>
    <w:basedOn w:val="DefaultParagraphFont"/>
    <w:link w:val="Heading1"/>
    <w:uiPriority w:val="9"/>
    <w:rsid w:val="00374D74"/>
    <w:rPr>
      <w:rFonts w:ascii="Times New Roman" w:hAnsi="Times New Roman" w:cs="Times New Roman"/>
      <w:b/>
      <w:sz w:val="44"/>
      <w:szCs w:val="44"/>
    </w:rPr>
  </w:style>
  <w:style w:type="paragraph" w:styleId="ListParagraph">
    <w:name w:val="List Paragraph"/>
    <w:basedOn w:val="Normal"/>
    <w:uiPriority w:val="34"/>
    <w:qFormat/>
    <w:rsid w:val="00374D74"/>
    <w:pPr>
      <w:ind w:left="720"/>
      <w:contextualSpacing/>
    </w:pPr>
  </w:style>
  <w:style w:type="character" w:customStyle="1" w:styleId="Heading2Char">
    <w:name w:val="Heading 2 Char"/>
    <w:basedOn w:val="DefaultParagraphFont"/>
    <w:link w:val="Heading2"/>
    <w:uiPriority w:val="9"/>
    <w:rsid w:val="00374D74"/>
    <w:rPr>
      <w:rFonts w:ascii="Times New Roman" w:hAnsi="Times New Roman" w:cs="Times New Roman"/>
      <w:b/>
      <w:sz w:val="28"/>
      <w:szCs w:val="28"/>
      <w:lang w:eastAsia="en-GB"/>
    </w:rPr>
  </w:style>
  <w:style w:type="paragraph" w:styleId="TOC3">
    <w:name w:val="toc 3"/>
    <w:basedOn w:val="Normal"/>
    <w:next w:val="Normal"/>
    <w:autoRedefine/>
    <w:uiPriority w:val="39"/>
    <w:semiHidden/>
    <w:unhideWhenUsed/>
    <w:qFormat/>
    <w:rsid w:val="00374D74"/>
    <w:pPr>
      <w:spacing w:after="100"/>
      <w:ind w:left="440"/>
    </w:pPr>
    <w:rPr>
      <w:rFonts w:eastAsiaTheme="minorEastAsia"/>
      <w:lang w:val="en-US" w:eastAsia="ja-JP"/>
    </w:rPr>
  </w:style>
  <w:style w:type="character" w:styleId="Emphasis">
    <w:name w:val="Emphasis"/>
    <w:basedOn w:val="DefaultParagraphFont"/>
    <w:uiPriority w:val="20"/>
    <w:qFormat/>
    <w:rsid w:val="00374D74"/>
    <w:rPr>
      <w:i/>
      <w:iCs/>
    </w:rPr>
  </w:style>
  <w:style w:type="paragraph" w:styleId="NoSpacing">
    <w:name w:val="No Spacing"/>
    <w:uiPriority w:val="1"/>
    <w:qFormat/>
    <w:rsid w:val="00374D74"/>
    <w:rPr>
      <w:rFonts w:eastAsia="Times New Roman"/>
      <w:lang w:eastAsia="en-GB"/>
    </w:rPr>
  </w:style>
  <w:style w:type="paragraph" w:styleId="TOCHeading">
    <w:name w:val="TOC Heading"/>
    <w:basedOn w:val="Heading1"/>
    <w:next w:val="Normal"/>
    <w:uiPriority w:val="39"/>
    <w:semiHidden/>
    <w:unhideWhenUsed/>
    <w:qFormat/>
    <w:rsid w:val="00374D74"/>
    <w:pPr>
      <w:outlineLvl w:val="9"/>
    </w:pPr>
    <w:rPr>
      <w:lang w:val="en-US"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color w:val="000000"/>
        <w:sz w:val="24"/>
        <w:szCs w:val="24"/>
        <w:lang w:val="en-GB"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74D74"/>
  </w:style>
  <w:style w:type="paragraph" w:styleId="Heading1">
    <w:name w:val="heading 1"/>
    <w:basedOn w:val="ListParagraph"/>
    <w:next w:val="Normal"/>
    <w:link w:val="Heading1Char"/>
    <w:autoRedefine/>
    <w:uiPriority w:val="9"/>
    <w:qFormat/>
    <w:rsid w:val="00374D74"/>
    <w:pPr>
      <w:ind w:left="0"/>
      <w:jc w:val="both"/>
      <w:outlineLvl w:val="0"/>
    </w:pPr>
    <w:rPr>
      <w:b/>
      <w:sz w:val="44"/>
      <w:szCs w:val="44"/>
    </w:rPr>
  </w:style>
  <w:style w:type="paragraph" w:styleId="Heading2">
    <w:name w:val="heading 2"/>
    <w:basedOn w:val="Normal"/>
    <w:next w:val="Normal"/>
    <w:link w:val="Heading2Char"/>
    <w:uiPriority w:val="9"/>
    <w:unhideWhenUsed/>
    <w:qFormat/>
    <w:rsid w:val="00374D74"/>
    <w:pPr>
      <w:outlineLvl w:val="1"/>
    </w:pPr>
    <w:rPr>
      <w:b/>
      <w:sz w:val="28"/>
      <w:szCs w:val="28"/>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
    <w:name w:val="Style1"/>
    <w:basedOn w:val="TOC2"/>
    <w:qFormat/>
    <w:rsid w:val="00374D74"/>
    <w:rPr>
      <w:b/>
      <w:sz w:val="24"/>
    </w:rPr>
  </w:style>
  <w:style w:type="paragraph" w:styleId="TOC2">
    <w:name w:val="toc 2"/>
    <w:basedOn w:val="Normal"/>
    <w:next w:val="Normal"/>
    <w:autoRedefine/>
    <w:uiPriority w:val="39"/>
    <w:unhideWhenUsed/>
    <w:qFormat/>
    <w:rsid w:val="00374D74"/>
    <w:pPr>
      <w:tabs>
        <w:tab w:val="right" w:leader="dot" w:pos="9678"/>
      </w:tabs>
      <w:spacing w:after="100"/>
      <w:jc w:val="both"/>
    </w:pPr>
    <w:rPr>
      <w:rFonts w:eastAsiaTheme="minorEastAsia"/>
      <w:noProof/>
      <w:sz w:val="36"/>
      <w:szCs w:val="36"/>
      <w:lang w:val="en-US" w:eastAsia="ja-JP"/>
    </w:rPr>
  </w:style>
  <w:style w:type="paragraph" w:customStyle="1" w:styleId="Style2">
    <w:name w:val="Style2"/>
    <w:basedOn w:val="TOC2"/>
    <w:autoRedefine/>
    <w:qFormat/>
    <w:rsid w:val="00374D74"/>
    <w:rPr>
      <w:b/>
      <w:sz w:val="24"/>
    </w:rPr>
  </w:style>
  <w:style w:type="paragraph" w:customStyle="1" w:styleId="Style3">
    <w:name w:val="Style3"/>
    <w:basedOn w:val="TOC2"/>
    <w:qFormat/>
    <w:rsid w:val="00374D74"/>
    <w:rPr>
      <w:b/>
      <w:sz w:val="24"/>
    </w:rPr>
  </w:style>
  <w:style w:type="paragraph" w:customStyle="1" w:styleId="Style4">
    <w:name w:val="Style4"/>
    <w:basedOn w:val="TOC2"/>
    <w:qFormat/>
    <w:rsid w:val="00374D74"/>
    <w:rPr>
      <w:b/>
      <w:sz w:val="24"/>
    </w:rPr>
  </w:style>
  <w:style w:type="paragraph" w:customStyle="1" w:styleId="Style5">
    <w:name w:val="Style5"/>
    <w:basedOn w:val="TOC2"/>
    <w:qFormat/>
    <w:rsid w:val="00374D74"/>
    <w:rPr>
      <w:b/>
      <w:sz w:val="24"/>
    </w:rPr>
  </w:style>
  <w:style w:type="paragraph" w:customStyle="1" w:styleId="Style6">
    <w:name w:val="Style6"/>
    <w:basedOn w:val="TOC2"/>
    <w:qFormat/>
    <w:rsid w:val="00374D74"/>
    <w:rPr>
      <w:b/>
      <w:sz w:val="24"/>
    </w:rPr>
  </w:style>
  <w:style w:type="paragraph" w:customStyle="1" w:styleId="Style7">
    <w:name w:val="Style7"/>
    <w:basedOn w:val="TOC1"/>
    <w:qFormat/>
    <w:rsid w:val="00374D74"/>
  </w:style>
  <w:style w:type="paragraph" w:styleId="TOC1">
    <w:name w:val="toc 1"/>
    <w:basedOn w:val="Normal"/>
    <w:next w:val="Normal"/>
    <w:autoRedefine/>
    <w:uiPriority w:val="39"/>
    <w:unhideWhenUsed/>
    <w:qFormat/>
    <w:rsid w:val="00374D74"/>
    <w:pPr>
      <w:tabs>
        <w:tab w:val="left" w:pos="660"/>
        <w:tab w:val="right" w:leader="dot" w:pos="9678"/>
      </w:tabs>
      <w:spacing w:after="120"/>
      <w:outlineLvl w:val="0"/>
    </w:pPr>
    <w:rPr>
      <w:b/>
      <w:sz w:val="28"/>
      <w:szCs w:val="28"/>
    </w:rPr>
  </w:style>
  <w:style w:type="character" w:customStyle="1" w:styleId="Heading1Char">
    <w:name w:val="Heading 1 Char"/>
    <w:basedOn w:val="DefaultParagraphFont"/>
    <w:link w:val="Heading1"/>
    <w:uiPriority w:val="9"/>
    <w:rsid w:val="00374D74"/>
    <w:rPr>
      <w:rFonts w:ascii="Times New Roman" w:hAnsi="Times New Roman" w:cs="Times New Roman"/>
      <w:b/>
      <w:sz w:val="44"/>
      <w:szCs w:val="44"/>
    </w:rPr>
  </w:style>
  <w:style w:type="paragraph" w:styleId="ListParagraph">
    <w:name w:val="List Paragraph"/>
    <w:basedOn w:val="Normal"/>
    <w:uiPriority w:val="34"/>
    <w:qFormat/>
    <w:rsid w:val="00374D74"/>
    <w:pPr>
      <w:ind w:left="720"/>
      <w:contextualSpacing/>
    </w:pPr>
  </w:style>
  <w:style w:type="character" w:customStyle="1" w:styleId="Heading2Char">
    <w:name w:val="Heading 2 Char"/>
    <w:basedOn w:val="DefaultParagraphFont"/>
    <w:link w:val="Heading2"/>
    <w:uiPriority w:val="9"/>
    <w:rsid w:val="00374D74"/>
    <w:rPr>
      <w:rFonts w:ascii="Times New Roman" w:hAnsi="Times New Roman" w:cs="Times New Roman"/>
      <w:b/>
      <w:sz w:val="28"/>
      <w:szCs w:val="28"/>
      <w:lang w:eastAsia="en-GB"/>
    </w:rPr>
  </w:style>
  <w:style w:type="paragraph" w:styleId="TOC3">
    <w:name w:val="toc 3"/>
    <w:basedOn w:val="Normal"/>
    <w:next w:val="Normal"/>
    <w:autoRedefine/>
    <w:uiPriority w:val="39"/>
    <w:semiHidden/>
    <w:unhideWhenUsed/>
    <w:qFormat/>
    <w:rsid w:val="00374D74"/>
    <w:pPr>
      <w:spacing w:after="100"/>
      <w:ind w:left="440"/>
    </w:pPr>
    <w:rPr>
      <w:rFonts w:eastAsiaTheme="minorEastAsia"/>
      <w:lang w:val="en-US" w:eastAsia="ja-JP"/>
    </w:rPr>
  </w:style>
  <w:style w:type="character" w:styleId="Emphasis">
    <w:name w:val="Emphasis"/>
    <w:basedOn w:val="DefaultParagraphFont"/>
    <w:uiPriority w:val="20"/>
    <w:qFormat/>
    <w:rsid w:val="00374D74"/>
    <w:rPr>
      <w:i/>
      <w:iCs/>
    </w:rPr>
  </w:style>
  <w:style w:type="paragraph" w:styleId="NoSpacing">
    <w:name w:val="No Spacing"/>
    <w:uiPriority w:val="1"/>
    <w:qFormat/>
    <w:rsid w:val="00374D74"/>
    <w:rPr>
      <w:rFonts w:eastAsia="Times New Roman"/>
      <w:lang w:eastAsia="en-GB"/>
    </w:rPr>
  </w:style>
  <w:style w:type="paragraph" w:styleId="TOCHeading">
    <w:name w:val="TOC Heading"/>
    <w:basedOn w:val="Heading1"/>
    <w:next w:val="Normal"/>
    <w:uiPriority w:val="39"/>
    <w:semiHidden/>
    <w:unhideWhenUsed/>
    <w:qFormat/>
    <w:rsid w:val="00374D74"/>
    <w:pPr>
      <w:outlineLvl w:val="9"/>
    </w:pPr>
    <w:rPr>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466</Words>
  <Characters>2659</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United Nations</Company>
  <LinksUpToDate>false</LinksUpToDate>
  <CharactersWithSpaces>3119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Benjamin Rae</dc:creator>
  <cp:lastModifiedBy>Benjamin Rae</cp:lastModifiedBy>
  <cp:revision>2</cp:revision>
  <dcterms:created xsi:type="dcterms:W3CDTF">2015-05-19T19:24:00Z</dcterms:created>
  <dcterms:modified xsi:type="dcterms:W3CDTF">2015-05-19T19:24:00Z</dcterms:modified>
</cp:coreProperties>
</file>